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Learning Strategy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Learning Strategy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Simulation learning strategy involves creating instructional scenarios where the learner can reflect the real-life or world from the content they learn. For this lesson, I sought to apply a simulation learning strategy because it represents reality within which the learner can interact and understand the content well. This strategy will be applied in classroom-based on </w:t>
      </w:r>
      <w:r>
        <w:rPr>
          <w:rFonts w:ascii="Times New Roman" w:cs="Times New Roman" w:hAnsi="Times New Roman"/>
          <w:sz w:val="24"/>
          <w:szCs w:val="24"/>
        </w:rPr>
        <w:t>Hearther</w:t>
      </w:r>
      <w:r>
        <w:rPr>
          <w:rFonts w:ascii="Times New Roman" w:cs="Times New Roman" w:hAnsi="Times New Roman"/>
          <w:sz w:val="24"/>
          <w:szCs w:val="24"/>
        </w:rPr>
        <w:t xml:space="preserve"> </w:t>
      </w:r>
      <w:r>
        <w:rPr>
          <w:rFonts w:ascii="Times New Roman" w:cs="Times New Roman" w:hAnsi="Times New Roman"/>
          <w:sz w:val="24"/>
          <w:szCs w:val="24"/>
        </w:rPr>
        <w:t>Ewrin’s</w:t>
      </w:r>
      <w:r>
        <w:rPr>
          <w:rFonts w:ascii="Times New Roman" w:cs="Times New Roman" w:hAnsi="Times New Roman"/>
          <w:sz w:val="24"/>
          <w:szCs w:val="24"/>
        </w:rPr>
        <w:t xml:space="preserve"> layout design for physical activity breaks (Kohl &amp; Cook, 2013, p. 271). I sought to adopt this strategy in teaching “Physical Education and Health Education” for Grade 6 learners because it enables the learners to experience the reality of the scenario and collect meaning from it that can enable them to understand the content better.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Unlike many other learning approaches and strategies, simulation offers learners an extensive opportunity to improve their learning practice, enhances teacher feedback and assessment during the learning process (Kaufman &amp; Ireland, 2019). According to the authors, this model of learning is not only simplified but also accurate, dynamic, and valid (Kaufman &amp; Ireland, 2019). The validity of this model can be associated with the fact that it allowed learners to encounter problem situations. It also tests their decisions and actions as they learn. As such, learners are able to experience the results and change their behavior appropriately. For 6th grade learners, this would be the best learning strategy for the topic of physical education and health education.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simulation model encourages learning game skills, attitudes, and social skills that can help them in understanding the concept better. Most of the learners in the 6th grade may not be able to understand certain concepts in physical education and health education unless they can experience them in the real-life. My simulation learning strategy will help them provide more realism, flexibility, and access to detailed feedback as they seek to learn the content on physical </w:t>
      </w:r>
      <w:r>
        <w:rPr>
          <w:rFonts w:ascii="Times New Roman" w:cs="Times New Roman" w:hAnsi="Times New Roman"/>
          <w:sz w:val="24"/>
          <w:szCs w:val="24"/>
        </w:rPr>
        <w:t>education and health (Kaufman &amp; Ireland, 2019). Simulations enhance the use of critical and evaluating thinking. Simulation learning strategy is unlike many other learning models that are mainly closed-ended. Due to their open-ended nature, the simulation learning strategy encourages learners, especially those in the lower grades, to contemplate the outcomes of the scenario (Kaufman &amp; Ireland, 2019).</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As the National Research Council (2011) explains, learning institutions provide the setting in which learners can engage in simulations and games that complement the learning process. For this strategy, the teacher will need to create a classroom layout that can accommodate physical activity during the break. Based on Heather Erwin’s layout design recommended for physical education learning, the teacher needs to organize the learners in a manner that they can see what is happening in the activity area. As shown in the figure below, the activity area is set aside and learners are organized to sit in around the activity area to enable everyone to participate actively. According to Kohl and Cook (2013), the teacher needs to provide learners with the opportunity to engage in physical activity.</w:t>
      </w:r>
    </w:p>
    <w:p>
      <w:pPr>
        <w:pStyle w:val="style0"/>
        <w:spacing w:after="0" w:lineRule="auto" w:line="48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4819650" cy="2845467"/>
            <wp:effectExtent l="0" t="0" r="0"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4819650" cy="2845467"/>
                    </a:xfrm>
                    <a:prstGeom prst="rect"/>
                  </pic:spPr>
                </pic:pic>
              </a:graphicData>
            </a:graphic>
          </wp:inline>
        </w:drawing>
      </w:r>
    </w:p>
    <w:p>
      <w:pPr>
        <w:pStyle w:val="style0"/>
        <w:spacing w:after="0" w:lineRule="auto" w:line="480"/>
        <w:rPr>
          <w:rFonts w:ascii="Times New Roman" w:cs="Times New Roman" w:hAnsi="Times New Roman"/>
          <w:i/>
          <w:sz w:val="24"/>
          <w:szCs w:val="24"/>
        </w:rPr>
      </w:pPr>
      <w:r>
        <w:rPr>
          <w:rFonts w:ascii="Times New Roman" w:cs="Times New Roman" w:hAnsi="Times New Roman"/>
          <w:i/>
          <w:sz w:val="24"/>
          <w:szCs w:val="24"/>
        </w:rPr>
        <w:t>Heather Erwin’s Classroom Layout for Physical Activity (Source: Kohl &amp; Cook, 2013, p.271)</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Also, the teachers need to allow the learners to develop an enjoyment of movement (Kohl &amp; Cook, 2013). Even though this design looks like that used in recess sessions, it is closely applicable to physical education lessons because both recess and physical education complement each other (Kohl &amp; Cook, 2013).</w:t>
      </w:r>
      <w:r>
        <w:rPr>
          <w:rFonts w:ascii="Times New Roman" w:cs="Times New Roman" w:hAnsi="Times New Roman"/>
          <w:sz w:val="24"/>
          <w:szCs w:val="24"/>
        </w:rPr>
        <w:t xml:space="preserve"> </w:t>
      </w:r>
      <w:r>
        <w:rPr>
          <w:rFonts w:ascii="Times New Roman" w:cs="Times New Roman" w:hAnsi="Times New Roman"/>
          <w:sz w:val="24"/>
          <w:szCs w:val="24"/>
          <w:highlight w:val="yellow"/>
        </w:rPr>
        <w:t>In regards to vocabulary development, this model involves active independent reading strategy that can help learners understand the content better. For example, through game or role-playing, the learners will engage in repetition of activities and words written on the chalkboard. This is why carrying out this activity in class is better than outside because it enables the teacher to write the vocabulary associated with the topic and enable the learners to repeatedly pronounce them as they role-play and engage in games. Repetition is one of the best ways to increase vocabulary because as one repeats the words, they (words) become embedded within their memory.</w:t>
      </w:r>
      <w:r>
        <w:rPr>
          <w:rFonts w:ascii="Times New Roman" w:cs="Times New Roman" w:hAnsi="Times New Roman"/>
          <w:sz w:val="24"/>
          <w:szCs w:val="24"/>
        </w:rPr>
        <w:t xml:space="preserve"> </w:t>
      </w:r>
      <w:bookmarkStart w:id="0" w:name="_GoBack"/>
      <w:bookmarkEnd w:id="0"/>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activity area left in the middle is where the learners will interact and simulate the learning content through role-playing and game. Physical education requires the participation of every learner and this space will be enough to accommodate all learners and provide them with the space they need to engage in the physical activity lesson. In physical education involves teaching learners how to work and relate with others. For example, space will enable the teacher to demonstrate the physical activity he requires the learners to do such as aerobic exercise. When the teacher demonstrates, the learners follow and he or she allows the learners to engage as well. This strategy is easily applicable even in the context of the classroom as demonstrated in the figure above. All the teacher needs is a space, which he or she can create by moving the learners’ seats or desks behind to allow the space for activity.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this may be limited to classrooms that are not densely populated. One of the constraints of this strategy is a densely populated classroom which may require the teacher to </w:t>
      </w:r>
      <w:r>
        <w:rPr>
          <w:rFonts w:ascii="Times New Roman" w:cs="Times New Roman" w:hAnsi="Times New Roman"/>
          <w:sz w:val="24"/>
          <w:szCs w:val="24"/>
        </w:rPr>
        <w:t>take the learners outside in the field. Learning inside the classroom is more controlled and the teacher can minimize the harm that may arise in the process of learning. Therefore, this strategy is not only effective but also appropriate for young learners, like those in the 6th grade. The teacher may modify the lesson as it suits the learners. For example, some of the modifications may include using role-playing instead of games, where the teachers involve some few learners to demonstrate the lesson in front of the activity area while the rest of the class is watching and following from their desks.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summary, the simulation strategy involves the use of technology and can also be involved through role-playing or games. Since technology is not applicable, the digital guidelines may not be applicable. My simulation learning strategy involves role-playing and games, and all the teachers may need is to design a classroom layout that supports the activity area to enable learners to participate. This strategy recommends using Heather Erwin’s classroom layout design (figure 3) in the text “Simulation as a Strategy in Teacher Education.”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Kaufman, D., &amp; Ireland, A. (2019).</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Simulation as a Strategy in Teacher Education.</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In </w:t>
      </w:r>
      <w:r>
        <w:rPr>
          <w:rFonts w:ascii="Times New Roman" w:cs="Times New Roman" w:hAnsi="Times New Roman"/>
          <w:i/>
          <w:iCs/>
          <w:color w:val="222222"/>
          <w:sz w:val="24"/>
          <w:szCs w:val="24"/>
          <w:shd w:val="clear" w:color="auto" w:fill="ffffff"/>
        </w:rPr>
        <w:t>Oxford Research Encyclopedia of Education</w:t>
      </w:r>
      <w:r>
        <w:rPr>
          <w:rFonts w:ascii="Times New Roman" w:cs="Times New Roman" w:hAnsi="Times New Roman"/>
          <w:color w:val="222222"/>
          <w:sz w:val="24"/>
          <w:szCs w:val="24"/>
          <w:shd w:val="clear" w:color="auto" w:fill="ffffff"/>
        </w:rPr>
        <w:t>.</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Kohl III, H. W., &amp; Cook, H. D. (Eds.).</w:t>
      </w:r>
      <w:r>
        <w:rPr>
          <w:rFonts w:ascii="Times New Roman" w:cs="Times New Roman" w:hAnsi="Times New Roman"/>
          <w:color w:val="222222"/>
          <w:sz w:val="24"/>
          <w:szCs w:val="24"/>
          <w:shd w:val="clear" w:color="auto" w:fill="ffffff"/>
        </w:rPr>
        <w:t xml:space="preserve"> (2013). </w:t>
      </w:r>
      <w:r>
        <w:rPr>
          <w:rFonts w:ascii="Times New Roman" w:cs="Times New Roman" w:hAnsi="Times New Roman"/>
          <w:i/>
          <w:iCs/>
          <w:color w:val="222222"/>
          <w:sz w:val="24"/>
          <w:szCs w:val="24"/>
          <w:shd w:val="clear" w:color="auto" w:fill="ffffff"/>
        </w:rPr>
        <w:t>Educating</w:t>
      </w:r>
      <w:r>
        <w:rPr>
          <w:rFonts w:ascii="Times New Roman" w:cs="Times New Roman" w:hAnsi="Times New Roman"/>
          <w:i/>
          <w:iCs/>
          <w:color w:val="222222"/>
          <w:sz w:val="24"/>
          <w:szCs w:val="24"/>
          <w:shd w:val="clear" w:color="auto" w:fill="ffffff"/>
        </w:rPr>
        <w:t xml:space="preserve"> the student body: Taking physical activity and physical education to school</w:t>
      </w:r>
      <w:r>
        <w:rPr>
          <w:rFonts w:ascii="Times New Roman" w:cs="Times New Roman" w:hAnsi="Times New Roman"/>
          <w:color w:val="222222"/>
          <w:sz w:val="24"/>
          <w:szCs w:val="24"/>
          <w:shd w:val="clear" w:color="auto" w:fill="ffffff"/>
        </w:rPr>
        <w:t>. National Academies Press.</w:t>
      </w:r>
      <w:r>
        <w:rPr>
          <w:rFonts w:ascii="Times New Roman" w:cs="Times New Roman" w:hAnsi="Times New Roman"/>
          <w:sz w:val="24"/>
          <w:szCs w:val="24"/>
        </w:rPr>
        <w:t xml:space="preserve">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National Research Council.</w:t>
      </w:r>
      <w:r>
        <w:rPr>
          <w:rFonts w:ascii="Times New Roman" w:cs="Times New Roman" w:hAnsi="Times New Roman"/>
          <w:color w:val="222222"/>
          <w:sz w:val="24"/>
          <w:szCs w:val="24"/>
          <w:shd w:val="clear" w:color="auto" w:fill="ffffff"/>
        </w:rPr>
        <w:t xml:space="preserve"> (2011). </w:t>
      </w:r>
      <w:r>
        <w:rPr>
          <w:rFonts w:ascii="Times New Roman" w:cs="Times New Roman" w:hAnsi="Times New Roman"/>
          <w:i/>
          <w:iCs/>
          <w:color w:val="222222"/>
          <w:sz w:val="24"/>
          <w:szCs w:val="24"/>
          <w:shd w:val="clear" w:color="auto" w:fill="ffffff"/>
        </w:rPr>
        <w:t>Learning science through computer games and simulations</w:t>
      </w:r>
      <w:r>
        <w:rPr>
          <w:rFonts w:ascii="Times New Roman" w:cs="Times New Roman" w:hAnsi="Times New Roman"/>
          <w:color w:val="222222"/>
          <w:sz w:val="24"/>
          <w:szCs w:val="24"/>
          <w:shd w:val="clear" w:color="auto" w:fill="ffffff"/>
        </w:rPr>
        <w:t>. National Academies Press.</w:t>
      </w:r>
    </w:p>
    <w:p>
      <w:pPr>
        <w:pStyle w:val="style0"/>
        <w:spacing w:after="0" w:lineRule="auto" w:line="480"/>
        <w:rPr>
          <w:rFonts w:ascii="Times New Roman" w:cs="Times New Roman" w:hAnsi="Times New Roman"/>
          <w:sz w:val="24"/>
          <w:szCs w:val="24"/>
        </w:rPr>
      </w:pPr>
    </w:p>
    <w:sectPr>
      <w:headerReference w:type="default" r:id="rId3"/>
      <w:headerReference w:type="first" r:id="rId4"/>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Tahoma">
    <w:altName w:val="Tahoma"/>
    <w:panose1 w:val="020b0604030005040204"/>
    <w:charset w:val="00"/>
    <w:family w:val="swiss"/>
    <w:pitch w:val="variable"/>
    <w:sig w:usb0="00000003" w:usb1="00000000" w:usb2="00000000" w:usb3="00000000" w:csb0="00000001"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LEARNING STRATEGY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d9fd2812-c686-4ec6-b61b-f386a9058675"/>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57597334-5bab-4630-b147-fe55659f8f13"/>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1097</Words>
  <Pages>6</Pages>
  <Characters>5945</Characters>
  <Application>WPS Office</Application>
  <DocSecurity>0</DocSecurity>
  <Paragraphs>53</Paragraphs>
  <ScaleCrop>false</ScaleCrop>
  <LinksUpToDate>false</LinksUpToDate>
  <CharactersWithSpaces>7029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2020-07-24T05:33:34Z</dcterms:created>
  <dc:creator>acer</dc:creator>
  <lastModifiedBy>STK-L21</lastModifiedBy>
  <dcterms:modified xsi:type="dcterms:W3CDTF">2020-07-24T05:33:34Z</dcterms:modified>
  <revision>2</revision>
</coreProperties>
</file>

<file path=docProps/custom.xml><?xml version="1.0" encoding="utf-8"?>
<Properties xmlns="http://schemas.openxmlformats.org/officeDocument/2006/custom-properties" xmlns:vt="http://schemas.openxmlformats.org/officeDocument/2006/docPropsVTypes"/>
</file>